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F382B0" w14:textId="77777777" w:rsidR="00FE4C53" w:rsidRDefault="00FE4C53" w:rsidP="00FE4C53">
      <w:pPr>
        <w:pStyle w:val="tx"/>
        <w:shd w:val="clear" w:color="auto" w:fill="FFFFFF"/>
        <w:spacing w:before="0" w:beforeAutospacing="0" w:after="150" w:afterAutospacing="0"/>
        <w:jc w:val="both"/>
        <w:rPr>
          <w:rFonts w:ascii="Helvetica" w:hAnsi="Helvetica" w:cs="Helvetica"/>
          <w:color w:val="333333"/>
          <w:sz w:val="21"/>
          <w:szCs w:val="21"/>
        </w:rPr>
      </w:pPr>
      <w:r>
        <w:rPr>
          <w:rFonts w:ascii="Arial" w:hAnsi="Arial" w:cs="Arial"/>
          <w:color w:val="333333"/>
          <w:sz w:val="20"/>
          <w:szCs w:val="20"/>
        </w:rPr>
        <w:t>92.</w:t>
      </w:r>
      <w:r>
        <w:rPr>
          <w:rFonts w:ascii="Helvetica" w:hAnsi="Helvetica" w:cs="Helvetica"/>
          <w:color w:val="333333"/>
          <w:sz w:val="20"/>
          <w:szCs w:val="20"/>
        </w:rPr>
        <w:t> </w:t>
      </w:r>
      <w:r>
        <w:rPr>
          <w:rFonts w:ascii="Arial" w:hAnsi="Arial" w:cs="Arial"/>
          <w:color w:val="333333"/>
          <w:sz w:val="20"/>
          <w:szCs w:val="20"/>
        </w:rPr>
        <w:t>(1) Every company shall prepare a return (hereinafter referred to as the annual return) </w:t>
      </w:r>
      <w:hyperlink r:id="rId4" w:tgtFrame="_blank" w:history="1">
        <w:r>
          <w:rPr>
            <w:rStyle w:val="Hyperlink"/>
            <w:rFonts w:ascii="Arial" w:hAnsi="Arial" w:cs="Arial"/>
            <w:color w:val="428BCA"/>
            <w:sz w:val="20"/>
            <w:szCs w:val="20"/>
          </w:rPr>
          <w:t>in the prescribed form</w:t>
        </w:r>
      </w:hyperlink>
      <w:r>
        <w:rPr>
          <w:rFonts w:ascii="Arial" w:hAnsi="Arial" w:cs="Arial"/>
          <w:color w:val="333333"/>
          <w:sz w:val="20"/>
          <w:szCs w:val="20"/>
        </w:rPr>
        <w:t> containing the particulars as they stood on the close of the financial year regarding—</w:t>
      </w:r>
    </w:p>
    <w:p w14:paraId="7CE95727" w14:textId="77777777" w:rsidR="00FE4C53" w:rsidRDefault="00FE4C53" w:rsidP="00FE4C53">
      <w:pPr>
        <w:pStyle w:val="indent1"/>
        <w:shd w:val="clear" w:color="auto" w:fill="FFFFFF"/>
        <w:spacing w:before="0" w:beforeAutospacing="0" w:after="150" w:afterAutospacing="0"/>
        <w:jc w:val="both"/>
        <w:rPr>
          <w:rFonts w:ascii="Helvetica" w:hAnsi="Helvetica" w:cs="Helvetica"/>
          <w:color w:val="333333"/>
          <w:sz w:val="21"/>
          <w:szCs w:val="21"/>
        </w:rPr>
      </w:pPr>
      <w:r>
        <w:rPr>
          <w:rFonts w:ascii="Arial" w:hAnsi="Arial" w:cs="Arial"/>
          <w:color w:val="333333"/>
          <w:sz w:val="20"/>
          <w:szCs w:val="20"/>
        </w:rPr>
        <w:t>(</w:t>
      </w:r>
      <w:r>
        <w:rPr>
          <w:rFonts w:ascii="Arial" w:hAnsi="Arial" w:cs="Arial"/>
          <w:i/>
          <w:iCs/>
          <w:color w:val="333333"/>
          <w:sz w:val="20"/>
          <w:szCs w:val="20"/>
        </w:rPr>
        <w:t>a</w:t>
      </w:r>
      <w:r>
        <w:rPr>
          <w:rFonts w:ascii="Arial" w:hAnsi="Arial" w:cs="Arial"/>
          <w:color w:val="333333"/>
          <w:sz w:val="20"/>
          <w:szCs w:val="20"/>
        </w:rPr>
        <w:t>) its registered office, principal business activities, particulars of its holding, subsidiary and associate companies;</w:t>
      </w:r>
    </w:p>
    <w:p w14:paraId="1EC15C5F" w14:textId="77777777" w:rsidR="00FE4C53" w:rsidRDefault="00FE4C53" w:rsidP="00FE4C53">
      <w:pPr>
        <w:pStyle w:val="indent1"/>
        <w:shd w:val="clear" w:color="auto" w:fill="FFFFFF"/>
        <w:spacing w:before="0" w:beforeAutospacing="0" w:after="150" w:afterAutospacing="0"/>
        <w:jc w:val="both"/>
        <w:rPr>
          <w:rFonts w:ascii="Helvetica" w:hAnsi="Helvetica" w:cs="Helvetica"/>
          <w:color w:val="333333"/>
          <w:sz w:val="21"/>
          <w:szCs w:val="21"/>
        </w:rPr>
      </w:pPr>
      <w:r>
        <w:rPr>
          <w:rFonts w:ascii="Arial" w:hAnsi="Arial" w:cs="Arial"/>
          <w:color w:val="333333"/>
          <w:sz w:val="20"/>
          <w:szCs w:val="20"/>
        </w:rPr>
        <w:t>(</w:t>
      </w:r>
      <w:r>
        <w:rPr>
          <w:rFonts w:ascii="Arial" w:hAnsi="Arial" w:cs="Arial"/>
          <w:i/>
          <w:iCs/>
          <w:color w:val="333333"/>
          <w:sz w:val="20"/>
          <w:szCs w:val="20"/>
        </w:rPr>
        <w:t>b</w:t>
      </w:r>
      <w:r>
        <w:rPr>
          <w:rFonts w:ascii="Arial" w:hAnsi="Arial" w:cs="Arial"/>
          <w:color w:val="333333"/>
          <w:sz w:val="20"/>
          <w:szCs w:val="20"/>
        </w:rPr>
        <w:t>) its shares, debentures and other securities and shareholding pattern;</w:t>
      </w:r>
    </w:p>
    <w:p w14:paraId="7B015CE2" w14:textId="77777777" w:rsidR="00FE4C53" w:rsidRDefault="00FE4C53" w:rsidP="00FE4C53">
      <w:pPr>
        <w:pStyle w:val="indent1"/>
        <w:shd w:val="clear" w:color="auto" w:fill="FFFFFF"/>
        <w:spacing w:before="0" w:beforeAutospacing="0" w:after="150" w:afterAutospacing="0"/>
        <w:jc w:val="both"/>
        <w:rPr>
          <w:rFonts w:ascii="Helvetica" w:hAnsi="Helvetica" w:cs="Helvetica"/>
          <w:color w:val="333333"/>
          <w:sz w:val="21"/>
          <w:szCs w:val="21"/>
        </w:rPr>
      </w:pPr>
      <w:r>
        <w:rPr>
          <w:rFonts w:ascii="Arial" w:hAnsi="Arial" w:cs="Arial"/>
          <w:color w:val="333333"/>
          <w:sz w:val="20"/>
          <w:szCs w:val="20"/>
        </w:rPr>
        <w:t>(</w:t>
      </w:r>
      <w:r>
        <w:rPr>
          <w:rFonts w:ascii="Arial" w:hAnsi="Arial" w:cs="Arial"/>
          <w:i/>
          <w:iCs/>
          <w:color w:val="333333"/>
          <w:sz w:val="20"/>
          <w:szCs w:val="20"/>
        </w:rPr>
        <w:t>c</w:t>
      </w:r>
      <w:r>
        <w:rPr>
          <w:rFonts w:ascii="Arial" w:hAnsi="Arial" w:cs="Arial"/>
          <w:color w:val="333333"/>
          <w:sz w:val="20"/>
          <w:szCs w:val="20"/>
        </w:rPr>
        <w:t>) </w:t>
      </w:r>
      <w:hyperlink r:id="rId5" w:anchor="5" w:tgtFrame="_self" w:history="1">
        <w:r>
          <w:rPr>
            <w:rStyle w:val="Hyperlink"/>
            <w:rFonts w:ascii="Arial" w:hAnsi="Arial" w:cs="Arial"/>
            <w:color w:val="428BCA"/>
            <w:sz w:val="15"/>
            <w:szCs w:val="15"/>
            <w:vertAlign w:val="superscript"/>
          </w:rPr>
          <w:t>5</w:t>
        </w:r>
      </w:hyperlink>
      <w:r>
        <w:rPr>
          <w:rFonts w:ascii="Arial" w:hAnsi="Arial" w:cs="Arial"/>
          <w:color w:val="333333"/>
          <w:sz w:val="20"/>
          <w:szCs w:val="20"/>
        </w:rPr>
        <w:t>[Omitted]</w:t>
      </w:r>
    </w:p>
    <w:p w14:paraId="7E554907" w14:textId="77777777" w:rsidR="00FE4C53" w:rsidRDefault="00FE4C53" w:rsidP="00FE4C53">
      <w:pPr>
        <w:pStyle w:val="indent1"/>
        <w:shd w:val="clear" w:color="auto" w:fill="FFFFFF"/>
        <w:spacing w:before="0" w:beforeAutospacing="0" w:after="150" w:afterAutospacing="0"/>
        <w:jc w:val="both"/>
        <w:rPr>
          <w:rFonts w:ascii="Helvetica" w:hAnsi="Helvetica" w:cs="Helvetica"/>
          <w:color w:val="333333"/>
          <w:sz w:val="21"/>
          <w:szCs w:val="21"/>
        </w:rPr>
      </w:pPr>
      <w:r>
        <w:rPr>
          <w:rFonts w:ascii="Arial" w:hAnsi="Arial" w:cs="Arial"/>
          <w:color w:val="333333"/>
          <w:sz w:val="20"/>
          <w:szCs w:val="20"/>
        </w:rPr>
        <w:t>(</w:t>
      </w:r>
      <w:r>
        <w:rPr>
          <w:rFonts w:ascii="Arial" w:hAnsi="Arial" w:cs="Arial"/>
          <w:i/>
          <w:iCs/>
          <w:color w:val="333333"/>
          <w:sz w:val="20"/>
          <w:szCs w:val="20"/>
        </w:rPr>
        <w:t>d</w:t>
      </w:r>
      <w:r>
        <w:rPr>
          <w:rFonts w:ascii="Arial" w:hAnsi="Arial" w:cs="Arial"/>
          <w:color w:val="333333"/>
          <w:sz w:val="20"/>
          <w:szCs w:val="20"/>
        </w:rPr>
        <w:t>) its members and debenture-holders along with changes therein since the close of the previous financial year;</w:t>
      </w:r>
    </w:p>
    <w:p w14:paraId="28DF865C" w14:textId="77777777" w:rsidR="00FE4C53" w:rsidRDefault="00FE4C53" w:rsidP="00FE4C53">
      <w:pPr>
        <w:pStyle w:val="indent1"/>
        <w:shd w:val="clear" w:color="auto" w:fill="FFFFFF"/>
        <w:spacing w:before="0" w:beforeAutospacing="0" w:after="150" w:afterAutospacing="0"/>
        <w:jc w:val="both"/>
        <w:rPr>
          <w:rFonts w:ascii="Helvetica" w:hAnsi="Helvetica" w:cs="Helvetica"/>
          <w:color w:val="333333"/>
          <w:sz w:val="21"/>
          <w:szCs w:val="21"/>
        </w:rPr>
      </w:pPr>
      <w:r>
        <w:rPr>
          <w:rFonts w:ascii="Arial" w:hAnsi="Arial" w:cs="Arial"/>
          <w:color w:val="333333"/>
          <w:sz w:val="20"/>
          <w:szCs w:val="20"/>
        </w:rPr>
        <w:t>(</w:t>
      </w:r>
      <w:r>
        <w:rPr>
          <w:rFonts w:ascii="Arial" w:hAnsi="Arial" w:cs="Arial"/>
          <w:i/>
          <w:iCs/>
          <w:color w:val="333333"/>
          <w:sz w:val="20"/>
          <w:szCs w:val="20"/>
        </w:rPr>
        <w:t>e</w:t>
      </w:r>
      <w:r>
        <w:rPr>
          <w:rFonts w:ascii="Arial" w:hAnsi="Arial" w:cs="Arial"/>
          <w:color w:val="333333"/>
          <w:sz w:val="20"/>
          <w:szCs w:val="20"/>
        </w:rPr>
        <w:t>) its promoters, directors, key managerial personnel along with changes therein since the close of the previous financial year;</w:t>
      </w:r>
    </w:p>
    <w:p w14:paraId="223231CB" w14:textId="77777777" w:rsidR="00FE4C53" w:rsidRDefault="00FE4C53" w:rsidP="00FE4C53">
      <w:pPr>
        <w:pStyle w:val="indent1"/>
        <w:shd w:val="clear" w:color="auto" w:fill="FFFFFF"/>
        <w:spacing w:before="0" w:beforeAutospacing="0" w:after="150" w:afterAutospacing="0"/>
        <w:jc w:val="both"/>
        <w:rPr>
          <w:rFonts w:ascii="Helvetica" w:hAnsi="Helvetica" w:cs="Helvetica"/>
          <w:color w:val="333333"/>
          <w:sz w:val="21"/>
          <w:szCs w:val="21"/>
        </w:rPr>
      </w:pPr>
      <w:r>
        <w:rPr>
          <w:rFonts w:ascii="Arial" w:hAnsi="Arial" w:cs="Arial"/>
          <w:color w:val="333333"/>
          <w:sz w:val="20"/>
          <w:szCs w:val="20"/>
        </w:rPr>
        <w:t>(</w:t>
      </w:r>
      <w:r>
        <w:rPr>
          <w:rFonts w:ascii="Arial" w:hAnsi="Arial" w:cs="Arial"/>
          <w:i/>
          <w:iCs/>
          <w:color w:val="333333"/>
          <w:sz w:val="20"/>
          <w:szCs w:val="20"/>
        </w:rPr>
        <w:t>f</w:t>
      </w:r>
      <w:r>
        <w:rPr>
          <w:rFonts w:ascii="Arial" w:hAnsi="Arial" w:cs="Arial"/>
          <w:color w:val="333333"/>
          <w:sz w:val="20"/>
          <w:szCs w:val="20"/>
        </w:rPr>
        <w:t>) meetings of members or a class thereof, Board and its various committees along with attendance details;</w:t>
      </w:r>
    </w:p>
    <w:p w14:paraId="7AACFF53" w14:textId="77777777" w:rsidR="00FE4C53" w:rsidRDefault="00FE4C53" w:rsidP="00FE4C53">
      <w:pPr>
        <w:pStyle w:val="indent1"/>
        <w:shd w:val="clear" w:color="auto" w:fill="FFFFFF"/>
        <w:spacing w:before="0" w:beforeAutospacing="0" w:after="150" w:afterAutospacing="0"/>
        <w:jc w:val="both"/>
        <w:rPr>
          <w:rFonts w:ascii="Helvetica" w:hAnsi="Helvetica" w:cs="Helvetica"/>
          <w:color w:val="333333"/>
          <w:sz w:val="21"/>
          <w:szCs w:val="21"/>
        </w:rPr>
      </w:pPr>
      <w:r>
        <w:rPr>
          <w:rFonts w:ascii="Arial" w:hAnsi="Arial" w:cs="Arial"/>
          <w:color w:val="0000FF"/>
          <w:sz w:val="20"/>
          <w:szCs w:val="20"/>
          <w:vertAlign w:val="superscript"/>
        </w:rPr>
        <w:t>3</w:t>
      </w:r>
      <w:r>
        <w:rPr>
          <w:rFonts w:ascii="Arial" w:hAnsi="Arial" w:cs="Arial"/>
          <w:color w:val="333333"/>
          <w:sz w:val="20"/>
          <w:szCs w:val="20"/>
        </w:rPr>
        <w:t>[(</w:t>
      </w:r>
      <w:r>
        <w:rPr>
          <w:rFonts w:ascii="Arial" w:hAnsi="Arial" w:cs="Arial"/>
          <w:i/>
          <w:iCs/>
          <w:color w:val="333333"/>
          <w:sz w:val="20"/>
          <w:szCs w:val="20"/>
        </w:rPr>
        <w:t>g</w:t>
      </w:r>
      <w:r>
        <w:rPr>
          <w:rFonts w:ascii="Arial" w:hAnsi="Arial" w:cs="Arial"/>
          <w:color w:val="333333"/>
          <w:sz w:val="20"/>
          <w:szCs w:val="20"/>
        </w:rPr>
        <w:t>) remuneration of directors and key managerial personnel;]</w:t>
      </w:r>
    </w:p>
    <w:p w14:paraId="59CC1766" w14:textId="77777777" w:rsidR="00FE4C53" w:rsidRDefault="00FE4C53" w:rsidP="00FE4C53">
      <w:pPr>
        <w:pStyle w:val="indent1"/>
        <w:shd w:val="clear" w:color="auto" w:fill="FFFFFF"/>
        <w:spacing w:before="0" w:beforeAutospacing="0" w:after="150" w:afterAutospacing="0"/>
        <w:jc w:val="both"/>
        <w:rPr>
          <w:rFonts w:ascii="Helvetica" w:hAnsi="Helvetica" w:cs="Helvetica"/>
          <w:color w:val="333333"/>
          <w:sz w:val="21"/>
          <w:szCs w:val="21"/>
        </w:rPr>
      </w:pPr>
      <w:r>
        <w:rPr>
          <w:rFonts w:ascii="Arial" w:hAnsi="Arial" w:cs="Arial"/>
          <w:color w:val="333333"/>
          <w:sz w:val="20"/>
          <w:szCs w:val="20"/>
        </w:rPr>
        <w:t>(</w:t>
      </w:r>
      <w:r>
        <w:rPr>
          <w:rFonts w:ascii="Arial" w:hAnsi="Arial" w:cs="Arial"/>
          <w:i/>
          <w:iCs/>
          <w:color w:val="333333"/>
          <w:sz w:val="20"/>
          <w:szCs w:val="20"/>
        </w:rPr>
        <w:t>h</w:t>
      </w:r>
      <w:r>
        <w:rPr>
          <w:rFonts w:ascii="Arial" w:hAnsi="Arial" w:cs="Arial"/>
          <w:color w:val="333333"/>
          <w:sz w:val="20"/>
          <w:szCs w:val="20"/>
        </w:rPr>
        <w:t>) penalty or punishment imposed on the company, its directors or officers and details of compounding of offences and appeals made against such penalty or punishment;</w:t>
      </w:r>
    </w:p>
    <w:p w14:paraId="05AA94D3" w14:textId="77777777" w:rsidR="00FE4C53" w:rsidRDefault="00FE4C53" w:rsidP="00FE4C53">
      <w:pPr>
        <w:pStyle w:val="indent1"/>
        <w:shd w:val="clear" w:color="auto" w:fill="FFFFFF"/>
        <w:spacing w:before="0" w:beforeAutospacing="0" w:after="150" w:afterAutospacing="0"/>
        <w:jc w:val="both"/>
        <w:rPr>
          <w:rFonts w:ascii="Helvetica" w:hAnsi="Helvetica" w:cs="Helvetica"/>
          <w:color w:val="333333"/>
          <w:sz w:val="21"/>
          <w:szCs w:val="21"/>
        </w:rPr>
      </w:pPr>
      <w:r>
        <w:rPr>
          <w:rFonts w:ascii="Arial" w:hAnsi="Arial" w:cs="Arial"/>
          <w:color w:val="333333"/>
          <w:sz w:val="20"/>
          <w:szCs w:val="20"/>
        </w:rPr>
        <w:t>(</w:t>
      </w:r>
      <w:proofErr w:type="spellStart"/>
      <w:r>
        <w:rPr>
          <w:rFonts w:ascii="Arial" w:hAnsi="Arial" w:cs="Arial"/>
          <w:i/>
          <w:iCs/>
          <w:color w:val="333333"/>
          <w:sz w:val="20"/>
          <w:szCs w:val="20"/>
        </w:rPr>
        <w:t>i</w:t>
      </w:r>
      <w:proofErr w:type="spellEnd"/>
      <w:r>
        <w:rPr>
          <w:rFonts w:ascii="Arial" w:hAnsi="Arial" w:cs="Arial"/>
          <w:color w:val="333333"/>
          <w:sz w:val="20"/>
          <w:szCs w:val="20"/>
        </w:rPr>
        <w:t>) matters relating to certification of compliances, disclosures as may be prescribed;</w:t>
      </w:r>
    </w:p>
    <w:p w14:paraId="7C1C2449" w14:textId="77777777" w:rsidR="00FE4C53" w:rsidRDefault="00FE4C53" w:rsidP="00FE4C53">
      <w:pPr>
        <w:pStyle w:val="indent1"/>
        <w:shd w:val="clear" w:color="auto" w:fill="FFFFFF"/>
        <w:spacing w:before="0" w:beforeAutospacing="0" w:after="150" w:afterAutospacing="0"/>
        <w:jc w:val="both"/>
        <w:rPr>
          <w:rFonts w:ascii="Helvetica" w:hAnsi="Helvetica" w:cs="Helvetica"/>
          <w:color w:val="333333"/>
          <w:sz w:val="21"/>
          <w:szCs w:val="21"/>
        </w:rPr>
      </w:pPr>
      <w:r>
        <w:rPr>
          <w:rFonts w:ascii="Arial" w:hAnsi="Arial" w:cs="Arial"/>
          <w:color w:val="333333"/>
          <w:sz w:val="20"/>
          <w:szCs w:val="20"/>
        </w:rPr>
        <w:t>(</w:t>
      </w:r>
      <w:r>
        <w:rPr>
          <w:rFonts w:ascii="Arial" w:hAnsi="Arial" w:cs="Arial"/>
          <w:i/>
          <w:iCs/>
          <w:color w:val="333333"/>
          <w:sz w:val="20"/>
          <w:szCs w:val="20"/>
        </w:rPr>
        <w:t>j</w:t>
      </w:r>
      <w:r>
        <w:rPr>
          <w:rFonts w:ascii="Arial" w:hAnsi="Arial" w:cs="Arial"/>
          <w:color w:val="333333"/>
          <w:sz w:val="20"/>
          <w:szCs w:val="20"/>
        </w:rPr>
        <w:t>) </w:t>
      </w:r>
      <w:r>
        <w:rPr>
          <w:rFonts w:ascii="Helvetica" w:hAnsi="Helvetica" w:cs="Helvetica"/>
          <w:color w:val="333333"/>
          <w:sz w:val="21"/>
          <w:szCs w:val="21"/>
        </w:rPr>
        <w:t>details, as may be prescribed, in respect of shares held by or on behalf of the Foreign Institutional Investors </w:t>
      </w:r>
      <w:hyperlink r:id="rId6" w:anchor="6" w:tgtFrame="_self" w:history="1">
        <w:r>
          <w:rPr>
            <w:rStyle w:val="Hyperlink"/>
            <w:rFonts w:ascii="Arial" w:hAnsi="Arial" w:cs="Arial"/>
            <w:color w:val="428BCA"/>
            <w:sz w:val="16"/>
            <w:szCs w:val="16"/>
            <w:vertAlign w:val="superscript"/>
          </w:rPr>
          <w:t>6</w:t>
        </w:r>
      </w:hyperlink>
      <w:r>
        <w:rPr>
          <w:rFonts w:ascii="Helvetica" w:hAnsi="Helvetica" w:cs="Helvetica"/>
          <w:color w:val="333333"/>
          <w:sz w:val="21"/>
          <w:szCs w:val="21"/>
        </w:rPr>
        <w:t>[Omitted]; and</w:t>
      </w:r>
    </w:p>
    <w:p w14:paraId="5EA90937" w14:textId="77777777" w:rsidR="00FE4C53" w:rsidRDefault="00FE4C53" w:rsidP="00FE4C53">
      <w:pPr>
        <w:pStyle w:val="indent1"/>
        <w:shd w:val="clear" w:color="auto" w:fill="FFFFFF"/>
        <w:spacing w:before="0" w:beforeAutospacing="0" w:after="150" w:afterAutospacing="0"/>
        <w:jc w:val="both"/>
        <w:rPr>
          <w:rFonts w:ascii="Helvetica" w:hAnsi="Helvetica" w:cs="Helvetica"/>
          <w:color w:val="333333"/>
          <w:sz w:val="21"/>
          <w:szCs w:val="21"/>
        </w:rPr>
      </w:pPr>
      <w:r>
        <w:rPr>
          <w:rFonts w:ascii="Arial" w:hAnsi="Arial" w:cs="Arial"/>
          <w:color w:val="333333"/>
          <w:sz w:val="20"/>
          <w:szCs w:val="20"/>
        </w:rPr>
        <w:t>(</w:t>
      </w:r>
      <w:r>
        <w:rPr>
          <w:rFonts w:ascii="Arial" w:hAnsi="Arial" w:cs="Arial"/>
          <w:i/>
          <w:iCs/>
          <w:color w:val="333333"/>
          <w:sz w:val="20"/>
          <w:szCs w:val="20"/>
        </w:rPr>
        <w:t>k</w:t>
      </w:r>
      <w:r>
        <w:rPr>
          <w:rFonts w:ascii="Arial" w:hAnsi="Arial" w:cs="Arial"/>
          <w:color w:val="333333"/>
          <w:sz w:val="20"/>
          <w:szCs w:val="20"/>
        </w:rPr>
        <w:t>) such other matters as may be prescribed,</w:t>
      </w:r>
    </w:p>
    <w:p w14:paraId="15D37732" w14:textId="77777777" w:rsidR="00FE4C53" w:rsidRDefault="00FE4C53" w:rsidP="00FE4C53">
      <w:pPr>
        <w:pStyle w:val="tx"/>
        <w:shd w:val="clear" w:color="auto" w:fill="FFFFFF"/>
        <w:spacing w:before="0" w:beforeAutospacing="0" w:after="150" w:afterAutospacing="0"/>
        <w:jc w:val="both"/>
        <w:rPr>
          <w:rFonts w:ascii="Helvetica" w:hAnsi="Helvetica" w:cs="Helvetica"/>
          <w:color w:val="333333"/>
          <w:sz w:val="21"/>
          <w:szCs w:val="21"/>
        </w:rPr>
      </w:pPr>
      <w:r>
        <w:rPr>
          <w:rFonts w:ascii="Arial" w:hAnsi="Arial" w:cs="Arial"/>
          <w:color w:val="333333"/>
          <w:sz w:val="20"/>
          <w:szCs w:val="20"/>
        </w:rPr>
        <w:t>and signed by a director and the company secretary, or where there is no company secretary, by a company secretary in practice:</w:t>
      </w:r>
    </w:p>
    <w:p w14:paraId="6C908870" w14:textId="77777777" w:rsidR="00FE4C53" w:rsidRDefault="00FE4C53" w:rsidP="00FE4C53">
      <w:pPr>
        <w:pStyle w:val="tx"/>
        <w:shd w:val="clear" w:color="auto" w:fill="FFFFFF"/>
        <w:spacing w:before="0" w:beforeAutospacing="0" w:after="150" w:afterAutospacing="0"/>
        <w:jc w:val="both"/>
        <w:rPr>
          <w:rFonts w:ascii="Helvetica" w:hAnsi="Helvetica" w:cs="Helvetica"/>
          <w:color w:val="333333"/>
          <w:sz w:val="21"/>
          <w:szCs w:val="21"/>
        </w:rPr>
      </w:pPr>
      <w:r>
        <w:rPr>
          <w:rFonts w:ascii="Arial" w:hAnsi="Arial" w:cs="Arial"/>
          <w:b/>
          <w:bCs/>
          <w:color w:val="0000FF"/>
          <w:sz w:val="20"/>
          <w:szCs w:val="20"/>
          <w:vertAlign w:val="superscript"/>
        </w:rPr>
        <w:t>4</w:t>
      </w:r>
      <w:r>
        <w:rPr>
          <w:rFonts w:ascii="Arial" w:hAnsi="Arial" w:cs="Arial"/>
          <w:b/>
          <w:bCs/>
          <w:color w:val="333333"/>
          <w:sz w:val="20"/>
          <w:szCs w:val="20"/>
          <w:vertAlign w:val="superscript"/>
        </w:rPr>
        <w:t>[</w:t>
      </w:r>
      <w:r>
        <w:rPr>
          <w:rFonts w:ascii="Arial" w:hAnsi="Arial" w:cs="Arial"/>
          <w:b/>
          <w:bCs/>
          <w:color w:val="333333"/>
          <w:sz w:val="20"/>
          <w:szCs w:val="20"/>
        </w:rPr>
        <w:t>Provided</w:t>
      </w:r>
      <w:r>
        <w:rPr>
          <w:rFonts w:ascii="Helvetica" w:hAnsi="Helvetica" w:cs="Helvetica"/>
          <w:color w:val="333333"/>
          <w:sz w:val="20"/>
          <w:szCs w:val="20"/>
        </w:rPr>
        <w:t> </w:t>
      </w:r>
      <w:r>
        <w:rPr>
          <w:rFonts w:ascii="Arial" w:hAnsi="Arial" w:cs="Arial"/>
          <w:color w:val="333333"/>
          <w:sz w:val="20"/>
          <w:szCs w:val="20"/>
        </w:rPr>
        <w:t>that in relation to One Person Company and small company, the annual return shall be signed by the company secretary, or where there is no company secretary, by the director of the company.]</w:t>
      </w:r>
    </w:p>
    <w:p w14:paraId="7FCF1144" w14:textId="77777777" w:rsidR="00FE4C53" w:rsidRDefault="00FE4C53" w:rsidP="00FE4C53">
      <w:pPr>
        <w:pStyle w:val="tx"/>
        <w:shd w:val="clear" w:color="auto" w:fill="FFFFFF"/>
        <w:spacing w:before="0" w:beforeAutospacing="0" w:after="150" w:afterAutospacing="0"/>
        <w:jc w:val="both"/>
        <w:rPr>
          <w:rFonts w:ascii="Helvetica" w:hAnsi="Helvetica" w:cs="Helvetica"/>
          <w:color w:val="333333"/>
          <w:sz w:val="21"/>
          <w:szCs w:val="21"/>
        </w:rPr>
      </w:pPr>
      <w:hyperlink r:id="rId7" w:anchor="7" w:tgtFrame="_self" w:history="1">
        <w:r>
          <w:rPr>
            <w:rStyle w:val="Hyperlink"/>
            <w:rFonts w:ascii="Helvetica" w:hAnsi="Helvetica" w:cs="Helvetica"/>
            <w:b/>
            <w:bCs/>
            <w:color w:val="428BCA"/>
            <w:sz w:val="15"/>
            <w:szCs w:val="15"/>
            <w:vertAlign w:val="superscript"/>
          </w:rPr>
          <w:t>7</w:t>
        </w:r>
      </w:hyperlink>
      <w:r>
        <w:rPr>
          <w:rStyle w:val="Strong"/>
          <w:rFonts w:ascii="Helvetica" w:hAnsi="Helvetica" w:cs="Helvetica"/>
          <w:color w:val="339966"/>
        </w:rPr>
        <w:t>[</w:t>
      </w:r>
      <w:r>
        <w:rPr>
          <w:rStyle w:val="Strong"/>
          <w:rFonts w:ascii="Helvetica" w:hAnsi="Helvetica" w:cs="Helvetica"/>
          <w:color w:val="339966"/>
          <w:sz w:val="21"/>
          <w:szCs w:val="21"/>
        </w:rPr>
        <w:t>Provided</w:t>
      </w:r>
      <w:r>
        <w:rPr>
          <w:rFonts w:ascii="Helvetica" w:hAnsi="Helvetica" w:cs="Helvetica"/>
          <w:color w:val="339966"/>
          <w:sz w:val="21"/>
          <w:szCs w:val="21"/>
        </w:rPr>
        <w:t> further that the Central Government may prescribe abridged form of annual return for "One Person Company, small company and such other class or classes of companies as may be prescribed.]</w:t>
      </w:r>
    </w:p>
    <w:p w14:paraId="45D66326" w14:textId="77777777" w:rsidR="00FE4C53" w:rsidRDefault="00FE4C53" w:rsidP="00FE4C53">
      <w:pPr>
        <w:pStyle w:val="tx"/>
        <w:shd w:val="clear" w:color="auto" w:fill="FFFFFF"/>
        <w:spacing w:before="0" w:beforeAutospacing="0" w:after="150" w:afterAutospacing="0"/>
        <w:jc w:val="both"/>
        <w:rPr>
          <w:rFonts w:ascii="Helvetica" w:hAnsi="Helvetica" w:cs="Helvetica"/>
          <w:color w:val="333333"/>
          <w:sz w:val="21"/>
          <w:szCs w:val="21"/>
        </w:rPr>
      </w:pPr>
      <w:r>
        <w:rPr>
          <w:rFonts w:ascii="Arial" w:hAnsi="Arial" w:cs="Arial"/>
          <w:color w:val="333333"/>
          <w:sz w:val="20"/>
          <w:szCs w:val="20"/>
        </w:rPr>
        <w:t>(2) The annual return, filed by a listed company or, by a company having such paid-up capital and turnover </w:t>
      </w:r>
      <w:hyperlink r:id="rId8" w:tgtFrame="_blank" w:history="1">
        <w:r>
          <w:rPr>
            <w:rStyle w:val="Hyperlink"/>
            <w:rFonts w:ascii="Arial" w:hAnsi="Arial" w:cs="Arial"/>
            <w:color w:val="428BCA"/>
            <w:sz w:val="20"/>
            <w:szCs w:val="20"/>
          </w:rPr>
          <w:t>as may be prescribed</w:t>
        </w:r>
      </w:hyperlink>
      <w:r>
        <w:rPr>
          <w:rFonts w:ascii="Arial" w:hAnsi="Arial" w:cs="Arial"/>
          <w:color w:val="333333"/>
          <w:sz w:val="20"/>
          <w:szCs w:val="20"/>
        </w:rPr>
        <w:t>, shall be certified by a company secretary in practice in the prescribed form, stating that the annual return discloses the facts correctly and adequately and that the company has complied with all the provisions of this Act.</w:t>
      </w:r>
    </w:p>
    <w:p w14:paraId="4CA695FA" w14:textId="77777777" w:rsidR="00FE4C53" w:rsidRDefault="00FE4C53" w:rsidP="00FE4C53">
      <w:pPr>
        <w:pStyle w:val="tx"/>
        <w:shd w:val="clear" w:color="auto" w:fill="FFFFFF"/>
        <w:spacing w:before="0" w:beforeAutospacing="0" w:after="150" w:afterAutospacing="0"/>
        <w:jc w:val="both"/>
        <w:rPr>
          <w:rFonts w:ascii="Helvetica" w:hAnsi="Helvetica" w:cs="Helvetica"/>
          <w:color w:val="333333"/>
          <w:sz w:val="21"/>
          <w:szCs w:val="21"/>
        </w:rPr>
      </w:pPr>
      <w:r>
        <w:rPr>
          <w:rFonts w:ascii="Arial" w:hAnsi="Arial" w:cs="Arial"/>
          <w:color w:val="333333"/>
          <w:sz w:val="20"/>
          <w:szCs w:val="20"/>
        </w:rPr>
        <w:t> </w:t>
      </w:r>
      <w:hyperlink r:id="rId9" w:anchor="8" w:tgtFrame="_self" w:history="1">
        <w:r>
          <w:rPr>
            <w:rStyle w:val="Hyperlink"/>
            <w:rFonts w:ascii="Arial" w:hAnsi="Arial" w:cs="Arial"/>
            <w:color w:val="428BCA"/>
            <w:sz w:val="15"/>
            <w:szCs w:val="15"/>
            <w:vertAlign w:val="superscript"/>
          </w:rPr>
          <w:t>8</w:t>
        </w:r>
      </w:hyperlink>
      <w:r>
        <w:rPr>
          <w:rFonts w:ascii="Helvetica" w:hAnsi="Helvetica" w:cs="Helvetica"/>
          <w:color w:val="333333"/>
          <w:sz w:val="21"/>
          <w:szCs w:val="21"/>
        </w:rPr>
        <w:t>[</w:t>
      </w:r>
      <w:r>
        <w:rPr>
          <w:rFonts w:ascii="Arial" w:hAnsi="Arial" w:cs="Arial"/>
          <w:color w:val="993300"/>
          <w:sz w:val="20"/>
          <w:szCs w:val="20"/>
        </w:rPr>
        <w:t>(3)</w:t>
      </w:r>
      <w:r>
        <w:rPr>
          <w:rFonts w:ascii="Arial" w:hAnsi="Arial" w:cs="Arial"/>
          <w:color w:val="333333"/>
          <w:sz w:val="20"/>
          <w:szCs w:val="20"/>
        </w:rPr>
        <w:t> </w:t>
      </w:r>
      <w:r>
        <w:rPr>
          <w:rFonts w:ascii="Arial" w:hAnsi="Arial" w:cs="Arial"/>
          <w:color w:val="993300"/>
          <w:sz w:val="20"/>
          <w:szCs w:val="20"/>
        </w:rPr>
        <w:t>Every company shall place a copy of the annual return on the website of the company, if any, and the web-link of such annual return shall be disclosed in the Board's report.]</w:t>
      </w:r>
    </w:p>
    <w:p w14:paraId="2DD46440" w14:textId="77777777" w:rsidR="00FE4C53" w:rsidRDefault="00FE4C53" w:rsidP="00FE4C53">
      <w:pPr>
        <w:pStyle w:val="tx"/>
        <w:shd w:val="clear" w:color="auto" w:fill="FFFFFF"/>
        <w:spacing w:before="0" w:beforeAutospacing="0" w:after="150" w:afterAutospacing="0"/>
        <w:jc w:val="both"/>
        <w:rPr>
          <w:rFonts w:ascii="Helvetica" w:hAnsi="Helvetica" w:cs="Helvetica"/>
          <w:color w:val="333333"/>
          <w:sz w:val="21"/>
          <w:szCs w:val="21"/>
        </w:rPr>
      </w:pPr>
      <w:r>
        <w:rPr>
          <w:rFonts w:ascii="Arial" w:hAnsi="Arial" w:cs="Arial"/>
          <w:color w:val="333333"/>
          <w:sz w:val="20"/>
          <w:szCs w:val="20"/>
        </w:rPr>
        <w:t>(4) Every company shall file with the Registrar a copy of the annual return, within </w:t>
      </w:r>
      <w:r>
        <w:rPr>
          <w:rFonts w:ascii="Arial" w:hAnsi="Arial" w:cs="Arial"/>
          <w:i/>
          <w:iCs/>
          <w:color w:val="333333"/>
          <w:sz w:val="20"/>
          <w:szCs w:val="20"/>
        </w:rPr>
        <w:t>sixty</w:t>
      </w:r>
      <w:r>
        <w:rPr>
          <w:rFonts w:ascii="Arial" w:hAnsi="Arial" w:cs="Arial"/>
          <w:color w:val="333333"/>
          <w:sz w:val="20"/>
          <w:szCs w:val="20"/>
        </w:rPr>
        <w:t> days from the date on which the annual general meeting is held or where no annual general meeting is held in any year within </w:t>
      </w:r>
      <w:r>
        <w:rPr>
          <w:rFonts w:ascii="Arial" w:hAnsi="Arial" w:cs="Arial"/>
          <w:i/>
          <w:iCs/>
          <w:color w:val="333333"/>
          <w:sz w:val="20"/>
          <w:szCs w:val="20"/>
        </w:rPr>
        <w:t>sixty</w:t>
      </w:r>
      <w:r>
        <w:rPr>
          <w:rFonts w:ascii="Arial" w:hAnsi="Arial" w:cs="Arial"/>
          <w:color w:val="333333"/>
          <w:sz w:val="20"/>
          <w:szCs w:val="20"/>
        </w:rPr>
        <w:t> days from the date on which the annual general meeting should have been held together with the statement specifying the reasons for not holding the annual general meeting, with such fees or additional fees </w:t>
      </w:r>
      <w:hyperlink r:id="rId10" w:tgtFrame="_blank" w:history="1">
        <w:r>
          <w:rPr>
            <w:rStyle w:val="Hyperlink"/>
            <w:rFonts w:ascii="Arial" w:hAnsi="Arial" w:cs="Arial"/>
            <w:color w:val="428BCA"/>
            <w:sz w:val="20"/>
            <w:szCs w:val="20"/>
          </w:rPr>
          <w:t>as may be prescribed</w:t>
        </w:r>
      </w:hyperlink>
      <w:r>
        <w:rPr>
          <w:rFonts w:ascii="Arial" w:hAnsi="Arial" w:cs="Arial"/>
          <w:color w:val="333333"/>
          <w:sz w:val="20"/>
          <w:szCs w:val="20"/>
        </w:rPr>
        <w:t> </w:t>
      </w:r>
      <w:hyperlink r:id="rId11" w:anchor="9" w:tgtFrame="_self" w:history="1">
        <w:r>
          <w:rPr>
            <w:rStyle w:val="Hyperlink"/>
            <w:rFonts w:ascii="Arial" w:hAnsi="Arial" w:cs="Arial"/>
            <w:color w:val="428BCA"/>
            <w:sz w:val="15"/>
            <w:szCs w:val="15"/>
            <w:vertAlign w:val="superscript"/>
          </w:rPr>
          <w:t>9</w:t>
        </w:r>
      </w:hyperlink>
      <w:r>
        <w:rPr>
          <w:rFonts w:ascii="Arial" w:hAnsi="Arial" w:cs="Arial"/>
          <w:color w:val="333333"/>
          <w:sz w:val="20"/>
          <w:szCs w:val="20"/>
        </w:rPr>
        <w:t>[Omitted].</w:t>
      </w:r>
    </w:p>
    <w:p w14:paraId="4816A937" w14:textId="77777777" w:rsidR="00FE4C53" w:rsidRDefault="00FE4C53" w:rsidP="00FE4C53">
      <w:pPr>
        <w:pStyle w:val="tx"/>
        <w:shd w:val="clear" w:color="auto" w:fill="FFFFFF"/>
        <w:spacing w:before="0" w:beforeAutospacing="0" w:after="150" w:afterAutospacing="0"/>
        <w:jc w:val="both"/>
        <w:rPr>
          <w:rFonts w:ascii="Helvetica" w:hAnsi="Helvetica" w:cs="Helvetica"/>
          <w:color w:val="333333"/>
          <w:sz w:val="21"/>
          <w:szCs w:val="21"/>
        </w:rPr>
      </w:pPr>
      <w:r>
        <w:rPr>
          <w:rFonts w:ascii="Arial" w:hAnsi="Arial" w:cs="Arial"/>
          <w:color w:val="993300"/>
          <w:sz w:val="16"/>
          <w:szCs w:val="16"/>
          <w:vertAlign w:val="superscript"/>
        </w:rPr>
        <w:t>13,</w:t>
      </w:r>
      <w:r>
        <w:rPr>
          <w:rFonts w:ascii="Arial" w:hAnsi="Arial" w:cs="Arial"/>
          <w:color w:val="993300"/>
          <w:sz w:val="21"/>
          <w:szCs w:val="21"/>
        </w:rPr>
        <w:t>[</w:t>
      </w:r>
      <w:hyperlink r:id="rId12" w:anchor="12" w:tgtFrame="_self" w:history="1">
        <w:r>
          <w:rPr>
            <w:rStyle w:val="Hyperlink"/>
            <w:rFonts w:ascii="Arial" w:hAnsi="Arial" w:cs="Arial"/>
            <w:color w:val="428BCA"/>
            <w:sz w:val="16"/>
            <w:szCs w:val="16"/>
            <w:vertAlign w:val="superscript"/>
          </w:rPr>
          <w:t>12</w:t>
        </w:r>
      </w:hyperlink>
      <w:r>
        <w:rPr>
          <w:rFonts w:ascii="Arial" w:hAnsi="Arial" w:cs="Arial"/>
          <w:color w:val="993300"/>
          <w:sz w:val="15"/>
          <w:szCs w:val="15"/>
          <w:vertAlign w:val="superscript"/>
        </w:rPr>
        <w:t>[</w:t>
      </w:r>
      <w:hyperlink r:id="rId13" w:anchor="11" w:tgtFrame="_self" w:history="1">
        <w:r>
          <w:rPr>
            <w:rStyle w:val="Hyperlink"/>
            <w:rFonts w:ascii="Arial" w:hAnsi="Arial" w:cs="Arial"/>
            <w:color w:val="428BCA"/>
            <w:sz w:val="15"/>
            <w:szCs w:val="15"/>
            <w:vertAlign w:val="superscript"/>
          </w:rPr>
          <w:t>11</w:t>
        </w:r>
      </w:hyperlink>
      <w:r>
        <w:rPr>
          <w:rFonts w:ascii="Arial" w:hAnsi="Arial" w:cs="Arial"/>
          <w:color w:val="993300"/>
          <w:sz w:val="20"/>
          <w:szCs w:val="20"/>
        </w:rPr>
        <w:t>[(5) </w:t>
      </w:r>
      <w:r>
        <w:rPr>
          <w:rFonts w:ascii="Helvetica" w:hAnsi="Helvetica" w:cs="Helvetica"/>
          <w:color w:val="993300"/>
          <w:sz w:val="21"/>
          <w:szCs w:val="21"/>
        </w:rPr>
        <w:t>If any company fails to file its annual return under sub-section </w:t>
      </w:r>
      <w:r>
        <w:rPr>
          <w:rStyle w:val="Strong"/>
          <w:rFonts w:ascii="Arial" w:hAnsi="Arial" w:cs="Arial"/>
          <w:color w:val="475055"/>
        </w:rPr>
        <w:t>(4), </w:t>
      </w:r>
      <w:r>
        <w:rPr>
          <w:rFonts w:ascii="Arial" w:hAnsi="Arial" w:cs="Arial"/>
          <w:color w:val="993300"/>
        </w:rPr>
        <w:t>before the expiry of the period specified </w:t>
      </w:r>
      <w:hyperlink r:id="rId14" w:anchor="10" w:tgtFrame="_self" w:history="1">
        <w:r>
          <w:rPr>
            <w:rStyle w:val="Hyperlink"/>
            <w:rFonts w:ascii="Arial" w:hAnsi="Arial" w:cs="Arial"/>
            <w:color w:val="428BCA"/>
            <w:sz w:val="15"/>
            <w:szCs w:val="15"/>
            <w:vertAlign w:val="superscript"/>
          </w:rPr>
          <w:t>10</w:t>
        </w:r>
      </w:hyperlink>
      <w:r>
        <w:rPr>
          <w:rFonts w:ascii="Arial" w:hAnsi="Arial" w:cs="Arial"/>
          <w:color w:val="993300"/>
        </w:rPr>
        <w:t>[therein], such company and its every officer who is in default shall be liable to a penalty of fifty thousand rupees and in case of continuing failure, with further penalty of one hundred rupees for each day during which such failure continues, subject to a maximum of five lakh rupees.]]]</w:t>
      </w:r>
    </w:p>
    <w:p w14:paraId="5CBAEC1D" w14:textId="58DE8235" w:rsidR="006F12AB" w:rsidRDefault="00FE4C53" w:rsidP="00FE4C53">
      <w:pPr>
        <w:pStyle w:val="tx"/>
        <w:shd w:val="clear" w:color="auto" w:fill="FFFFFF"/>
        <w:spacing w:before="0" w:beforeAutospacing="0" w:after="150" w:afterAutospacing="0"/>
        <w:jc w:val="both"/>
      </w:pPr>
      <w:r>
        <w:rPr>
          <w:rFonts w:ascii="Arial" w:hAnsi="Arial" w:cs="Arial"/>
          <w:color w:val="333333"/>
          <w:sz w:val="20"/>
          <w:szCs w:val="20"/>
        </w:rPr>
        <w:t>(6) If a company secretary in practice certifies the annual return otherwise than in</w:t>
      </w:r>
      <w:r>
        <w:rPr>
          <w:rFonts w:ascii="Helvetica" w:hAnsi="Helvetica" w:cs="Helvetica"/>
          <w:color w:val="333333"/>
          <w:sz w:val="21"/>
          <w:szCs w:val="21"/>
        </w:rPr>
        <w:t> </w:t>
      </w:r>
      <w:r>
        <w:rPr>
          <w:rFonts w:ascii="Arial" w:hAnsi="Arial" w:cs="Arial"/>
          <w:color w:val="333333"/>
          <w:sz w:val="20"/>
          <w:szCs w:val="20"/>
        </w:rPr>
        <w:t>conformity with the requirements of this section or the rules made thereunder, he shall be</w:t>
      </w:r>
      <w:r>
        <w:rPr>
          <w:rFonts w:ascii="Helvetica" w:hAnsi="Helvetica" w:cs="Helvetica"/>
          <w:color w:val="333333"/>
          <w:sz w:val="21"/>
          <w:szCs w:val="21"/>
        </w:rPr>
        <w:t> </w:t>
      </w:r>
      <w:r>
        <w:rPr>
          <w:rFonts w:ascii="Arial" w:hAnsi="Arial" w:cs="Arial"/>
          <w:color w:val="333333"/>
          <w:sz w:val="20"/>
          <w:szCs w:val="20"/>
        </w:rPr>
        <w:t xml:space="preserve">punishable with fine which shall not be less than fifty thousand </w:t>
      </w:r>
      <w:proofErr w:type="gramStart"/>
      <w:r>
        <w:rPr>
          <w:rFonts w:ascii="Arial" w:hAnsi="Arial" w:cs="Arial"/>
          <w:color w:val="333333"/>
          <w:sz w:val="20"/>
          <w:szCs w:val="20"/>
        </w:rPr>
        <w:t>rupees</w:t>
      </w:r>
      <w:proofErr w:type="gramEnd"/>
      <w:r>
        <w:rPr>
          <w:rFonts w:ascii="Arial" w:hAnsi="Arial" w:cs="Arial"/>
          <w:color w:val="333333"/>
          <w:sz w:val="20"/>
          <w:szCs w:val="20"/>
        </w:rPr>
        <w:t xml:space="preserve"> but which may</w:t>
      </w:r>
      <w:r>
        <w:rPr>
          <w:rFonts w:ascii="Helvetica" w:hAnsi="Helvetica" w:cs="Helvetica"/>
          <w:color w:val="333333"/>
          <w:sz w:val="21"/>
          <w:szCs w:val="21"/>
        </w:rPr>
        <w:t> </w:t>
      </w:r>
      <w:r>
        <w:rPr>
          <w:rFonts w:ascii="Arial" w:hAnsi="Arial" w:cs="Arial"/>
          <w:color w:val="333333"/>
          <w:sz w:val="20"/>
          <w:szCs w:val="20"/>
        </w:rPr>
        <w:t>extend to five lakh rupees.</w:t>
      </w:r>
      <w:r>
        <w:rPr>
          <w:rFonts w:ascii="Arial" w:hAnsi="Arial" w:cs="Arial"/>
          <w:color w:val="333333"/>
          <w:sz w:val="20"/>
          <w:szCs w:val="20"/>
        </w:rPr>
        <w:t xml:space="preserve"> </w:t>
      </w:r>
      <w:bookmarkStart w:id="0" w:name="_GoBack"/>
      <w:bookmarkEnd w:id="0"/>
    </w:p>
    <w:sectPr w:rsidR="006F12A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59E"/>
    <w:rsid w:val="0000659E"/>
    <w:rsid w:val="006F12AB"/>
    <w:rsid w:val="00FE4C5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E679C"/>
  <w15:chartTrackingRefBased/>
  <w15:docId w15:val="{181F3365-FBF0-4AF4-98AC-8ECCF4EB5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x">
    <w:name w:val="tx"/>
    <w:basedOn w:val="Normal"/>
    <w:rsid w:val="00FE4C53"/>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semiHidden/>
    <w:unhideWhenUsed/>
    <w:rsid w:val="00FE4C53"/>
    <w:rPr>
      <w:color w:val="0000FF"/>
      <w:u w:val="single"/>
    </w:rPr>
  </w:style>
  <w:style w:type="paragraph" w:customStyle="1" w:styleId="indent1">
    <w:name w:val="indent1"/>
    <w:basedOn w:val="Normal"/>
    <w:rsid w:val="00FE4C53"/>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FE4C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7883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book.mca.gov.in/Actpagedisplay.aspx?PAGENAME=18027" TargetMode="External"/><Relationship Id="rId13" Type="http://schemas.openxmlformats.org/officeDocument/2006/relationships/hyperlink" Target="http://ebook.mca.gov.in/Childwindow1.aspx?pageid=17475&amp;type=CA&amp;ChildTitle=Chapter%20VII%20Management%20and%20Administration&amp;SearchText=" TargetMode="External"/><Relationship Id="rId3" Type="http://schemas.openxmlformats.org/officeDocument/2006/relationships/webSettings" Target="webSettings.xml"/><Relationship Id="rId7" Type="http://schemas.openxmlformats.org/officeDocument/2006/relationships/hyperlink" Target="http://ebook.mca.gov.in/Childwindow1.aspx?pageid=17475&amp;type=CA&amp;ChildTitle=Chapter%20VII%20Management%20and%20Administration&amp;SearchText=" TargetMode="External"/><Relationship Id="rId12" Type="http://schemas.openxmlformats.org/officeDocument/2006/relationships/hyperlink" Target="http://ebook.mca.gov.in/Childwindow1.aspx?pageid=17475&amp;type=CA&amp;ChildTitle=Chapter%20VII%20Management%20and%20Administration&amp;SearchText="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ebook.mca.gov.in/Childwindow1.aspx?pageid=17475&amp;type=CA&amp;ChildTitle=Chapter%20VII%20Management%20and%20Administration&amp;SearchText=" TargetMode="External"/><Relationship Id="rId11" Type="http://schemas.openxmlformats.org/officeDocument/2006/relationships/hyperlink" Target="http://ebook.mca.gov.in/Childwindow1.aspx?pageid=17475&amp;type=CA&amp;ChildTitle=Chapter%20VII%20Management%20and%20Administration&amp;SearchText=" TargetMode="External"/><Relationship Id="rId5" Type="http://schemas.openxmlformats.org/officeDocument/2006/relationships/hyperlink" Target="http://ebook.mca.gov.in/Childwindow1.aspx?pageid=17475&amp;type=CA&amp;ChildTitle=Chapter%20VII%20Management%20and%20Administration&amp;SearchText=" TargetMode="External"/><Relationship Id="rId15" Type="http://schemas.openxmlformats.org/officeDocument/2006/relationships/fontTable" Target="fontTable.xml"/><Relationship Id="rId10" Type="http://schemas.openxmlformats.org/officeDocument/2006/relationships/hyperlink" Target="http://ebook.mca.gov.in/Actpagedisplay.aspx?PAGENAME=18204" TargetMode="External"/><Relationship Id="rId4" Type="http://schemas.openxmlformats.org/officeDocument/2006/relationships/hyperlink" Target="http://ebook.mca.gov.in/Actpagedisplay.aspx?PAGENAME=18027" TargetMode="External"/><Relationship Id="rId9" Type="http://schemas.openxmlformats.org/officeDocument/2006/relationships/hyperlink" Target="http://ebook.mca.gov.in/Childwindow1.aspx?pageid=17475&amp;type=CA&amp;ChildTitle=Chapter%20VII%20Management%20and%20Administration&amp;SearchText=" TargetMode="External"/><Relationship Id="rId14" Type="http://schemas.openxmlformats.org/officeDocument/2006/relationships/hyperlink" Target="http://ebook.mca.gov.in/Childwindow1.aspx?pageid=17475&amp;type=CA&amp;ChildTitle=Chapter%20VII%20Management%20and%20Administration&amp;SearchTex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764</Words>
  <Characters>4355</Characters>
  <Application>Microsoft Office Word</Application>
  <DocSecurity>0</DocSecurity>
  <Lines>36</Lines>
  <Paragraphs>10</Paragraphs>
  <ScaleCrop>false</ScaleCrop>
  <Company/>
  <LinksUpToDate>false</LinksUpToDate>
  <CharactersWithSpaces>5109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Viswanathan Sreedharan</dc:creator>
  <cp:keywords/>
  <dc:description/>
  <cp:lastModifiedBy>Viswanathan Sreedharan</cp:lastModifiedBy>
  <cp:revision>2</cp:revision>
  <dcterms:created xsi:type="dcterms:W3CDTF">2019-10-22T09:47:00Z</dcterms:created>
  <dcterms:modified xsi:type="dcterms:W3CDTF">2019-10-22T09:47:00Z</dcterms:modified>
</cp:coreProperties>
</file>